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3010" w14:textId="423B5AFE" w:rsidR="005436F3" w:rsidRPr="00674AA7" w:rsidRDefault="00674AA7" w:rsidP="00674AA7">
      <w:pPr>
        <w:rPr>
          <w:color w:val="981D97"/>
          <w:sz w:val="28"/>
          <w:szCs w:val="32"/>
        </w:rPr>
      </w:pPr>
      <w:r w:rsidRPr="00674AA7">
        <w:rPr>
          <w:color w:val="981D97"/>
          <w:sz w:val="28"/>
          <w:szCs w:val="32"/>
        </w:rPr>
        <w:t>Utilities Engineering Technician</w:t>
      </w:r>
    </w:p>
    <w:p w14:paraId="237F27D4" w14:textId="5B643165" w:rsidR="00674AA7" w:rsidRDefault="00674AA7" w:rsidP="00674AA7">
      <w:pPr>
        <w:rPr>
          <w:color w:val="981D97"/>
          <w:sz w:val="24"/>
          <w:szCs w:val="28"/>
        </w:rPr>
      </w:pPr>
      <w:r w:rsidRPr="00674AA7">
        <w:rPr>
          <w:color w:val="981D97"/>
          <w:sz w:val="24"/>
          <w:szCs w:val="28"/>
        </w:rPr>
        <w:t>Main differences between AP02 and AP03</w:t>
      </w:r>
    </w:p>
    <w:p w14:paraId="083F0ED1" w14:textId="7899929F" w:rsidR="00674AA7" w:rsidRPr="00515886" w:rsidRDefault="008B0EF0" w:rsidP="00674AA7">
      <w:p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AP03 is replacing AP02. </w:t>
      </w:r>
      <w:r w:rsidR="009B0B86" w:rsidRPr="00515886">
        <w:rPr>
          <w:color w:val="auto"/>
          <w:sz w:val="24"/>
          <w:szCs w:val="28"/>
        </w:rPr>
        <w:t xml:space="preserve">For a </w:t>
      </w:r>
      <w:r w:rsidR="00977829" w:rsidRPr="00515886">
        <w:rPr>
          <w:color w:val="auto"/>
          <w:sz w:val="24"/>
          <w:szCs w:val="28"/>
        </w:rPr>
        <w:t>full description of how EUIAS carr</w:t>
      </w:r>
      <w:r>
        <w:rPr>
          <w:color w:val="auto"/>
          <w:sz w:val="24"/>
          <w:szCs w:val="28"/>
        </w:rPr>
        <w:t>ies</w:t>
      </w:r>
      <w:r w:rsidR="00977829" w:rsidRPr="00515886">
        <w:rPr>
          <w:color w:val="auto"/>
          <w:sz w:val="24"/>
          <w:szCs w:val="28"/>
        </w:rPr>
        <w:t xml:space="preserve"> out end-point assessment for UET AP03, download the EPA Specification from </w:t>
      </w:r>
      <w:r w:rsidR="00B66CE7" w:rsidRPr="00515886">
        <w:rPr>
          <w:color w:val="auto"/>
          <w:sz w:val="24"/>
          <w:szCs w:val="28"/>
        </w:rPr>
        <w:t>euias.co.uk/</w:t>
      </w:r>
      <w:r w:rsidR="00515886" w:rsidRPr="00515886">
        <w:rPr>
          <w:color w:val="auto"/>
          <w:sz w:val="24"/>
          <w:szCs w:val="28"/>
        </w:rPr>
        <w:t>end-point</w:t>
      </w:r>
      <w:r w:rsidR="00375217">
        <w:rPr>
          <w:color w:val="auto"/>
          <w:sz w:val="24"/>
          <w:szCs w:val="28"/>
        </w:rPr>
        <w:t>-</w:t>
      </w:r>
      <w:r w:rsidR="00515886" w:rsidRPr="00515886">
        <w:rPr>
          <w:color w:val="auto"/>
          <w:sz w:val="24"/>
          <w:szCs w:val="28"/>
        </w:rPr>
        <w:t>assessment/</w:t>
      </w:r>
      <w:proofErr w:type="spellStart"/>
      <w:r w:rsidR="00515886" w:rsidRPr="00515886">
        <w:rPr>
          <w:color w:val="auto"/>
          <w:sz w:val="24"/>
          <w:szCs w:val="28"/>
        </w:rPr>
        <w:t>epa</w:t>
      </w:r>
      <w:proofErr w:type="spellEnd"/>
      <w:r w:rsidR="00515886" w:rsidRPr="00515886">
        <w:rPr>
          <w:color w:val="auto"/>
          <w:sz w:val="24"/>
          <w:szCs w:val="28"/>
        </w:rPr>
        <w:t>-resources</w:t>
      </w:r>
      <w:r w:rsidR="00515886">
        <w:rPr>
          <w:color w:val="auto"/>
          <w:sz w:val="24"/>
          <w:szCs w:val="28"/>
        </w:rPr>
        <w:t>.</w:t>
      </w:r>
    </w:p>
    <w:p w14:paraId="11633194" w14:textId="77777777" w:rsidR="003B2F1A" w:rsidRPr="003B2F1A" w:rsidRDefault="003B2F1A" w:rsidP="003B2F1A">
      <w:pPr>
        <w:ind w:firstLine="0"/>
        <w:rPr>
          <w:color w:val="auto"/>
          <w:sz w:val="24"/>
          <w:szCs w:val="28"/>
        </w:rPr>
      </w:pPr>
      <w:r w:rsidRPr="003B2F1A">
        <w:rPr>
          <w:color w:val="auto"/>
          <w:sz w:val="24"/>
          <w:szCs w:val="28"/>
        </w:rPr>
        <w:t xml:space="preserve">Both assessment plans relate to the same standard, ST0159 v1.1. </w:t>
      </w:r>
    </w:p>
    <w:p w14:paraId="2F63ADA6" w14:textId="032D757C" w:rsidR="009B0B86" w:rsidRDefault="001C7C0A" w:rsidP="00674AA7">
      <w:pPr>
        <w:rPr>
          <w:color w:val="981D97"/>
          <w:sz w:val="24"/>
          <w:szCs w:val="28"/>
        </w:rPr>
      </w:pPr>
      <w:r w:rsidRPr="001C7C0A">
        <w:rPr>
          <w:color w:val="auto"/>
          <w:sz w:val="24"/>
          <w:szCs w:val="28"/>
        </w:rPr>
        <w:t>Below is a list of the main ways in which AP03 differs from AP02</w:t>
      </w:r>
      <w:r>
        <w:rPr>
          <w:color w:val="auto"/>
          <w:sz w:val="24"/>
          <w:szCs w:val="28"/>
        </w:rPr>
        <w:t>.</w:t>
      </w:r>
    </w:p>
    <w:p w14:paraId="6D5CF793" w14:textId="6F19EF30" w:rsidR="00740BD4" w:rsidRDefault="00740BD4" w:rsidP="00674AA7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 assessment methods differ.  In AP03 the three assessment methods are</w:t>
      </w:r>
    </w:p>
    <w:p w14:paraId="50FA03E4" w14:textId="28182409" w:rsidR="000A4745" w:rsidRDefault="000A4745" w:rsidP="000A4745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A knowledge </w:t>
      </w:r>
      <w:proofErr w:type="gramStart"/>
      <w:r>
        <w:rPr>
          <w:color w:val="auto"/>
          <w:sz w:val="24"/>
          <w:szCs w:val="28"/>
        </w:rPr>
        <w:t>test</w:t>
      </w:r>
      <w:proofErr w:type="gramEnd"/>
    </w:p>
    <w:p w14:paraId="412B3114" w14:textId="53712F2A" w:rsidR="000A4745" w:rsidRDefault="000A4745" w:rsidP="000A4745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A practical observation with questions</w:t>
      </w:r>
    </w:p>
    <w:p w14:paraId="382B50F9" w14:textId="622B25F8" w:rsidR="000A4745" w:rsidRDefault="000A4745" w:rsidP="000A4745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An interview underpinned </w:t>
      </w:r>
      <w:r w:rsidR="00363C1F">
        <w:rPr>
          <w:color w:val="auto"/>
          <w:sz w:val="24"/>
          <w:szCs w:val="28"/>
        </w:rPr>
        <w:t>by a portfolio.</w:t>
      </w:r>
    </w:p>
    <w:p w14:paraId="2C5C953B" w14:textId="77777777" w:rsidR="00363C1F" w:rsidRPr="00363C1F" w:rsidRDefault="00363C1F" w:rsidP="00B12984">
      <w:pPr>
        <w:spacing w:after="0"/>
        <w:ind w:left="1221" w:firstLine="0"/>
        <w:rPr>
          <w:color w:val="auto"/>
          <w:sz w:val="24"/>
          <w:szCs w:val="28"/>
        </w:rPr>
      </w:pPr>
    </w:p>
    <w:p w14:paraId="573D348A" w14:textId="1DBCECFE" w:rsidR="00674AA7" w:rsidRDefault="00740BD4" w:rsidP="00363C1F">
      <w:pPr>
        <w:pStyle w:val="ListParagraph"/>
        <w:numPr>
          <w:ilvl w:val="0"/>
          <w:numId w:val="4"/>
        </w:numPr>
        <w:spacing w:after="240" w:line="264" w:lineRule="auto"/>
        <w:ind w:left="856" w:hanging="357"/>
        <w:contextualSpacing w:val="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I</w:t>
      </w:r>
      <w:r w:rsidR="00375217">
        <w:rPr>
          <w:color w:val="auto"/>
          <w:sz w:val="24"/>
          <w:szCs w:val="28"/>
        </w:rPr>
        <w:t xml:space="preserve">n AP03 </w:t>
      </w:r>
      <w:r w:rsidR="003B7231">
        <w:rPr>
          <w:color w:val="auto"/>
          <w:sz w:val="24"/>
          <w:szCs w:val="28"/>
        </w:rPr>
        <w:t xml:space="preserve">some </w:t>
      </w:r>
      <w:r w:rsidR="009D1A1B">
        <w:rPr>
          <w:color w:val="auto"/>
          <w:sz w:val="24"/>
          <w:szCs w:val="28"/>
        </w:rPr>
        <w:t xml:space="preserve">of the KSB criteria </w:t>
      </w:r>
      <w:r w:rsidR="003B7231">
        <w:rPr>
          <w:color w:val="auto"/>
          <w:sz w:val="24"/>
          <w:szCs w:val="28"/>
        </w:rPr>
        <w:t>have been divided into two, with each part assessed by different assessment methods. These are:</w:t>
      </w:r>
    </w:p>
    <w:tbl>
      <w:tblPr>
        <w:tblStyle w:val="TableGrid0"/>
        <w:tblW w:w="0" w:type="auto"/>
        <w:tblInd w:w="861" w:type="dxa"/>
        <w:tblLook w:val="04A0" w:firstRow="1" w:lastRow="0" w:firstColumn="1" w:lastColumn="0" w:noHBand="0" w:noVBand="1"/>
      </w:tblPr>
      <w:tblGrid>
        <w:gridCol w:w="1184"/>
        <w:gridCol w:w="2272"/>
        <w:gridCol w:w="1564"/>
        <w:gridCol w:w="1564"/>
        <w:gridCol w:w="1564"/>
      </w:tblGrid>
      <w:tr w:rsidR="003B7231" w14:paraId="5DE8DC0C" w14:textId="77777777" w:rsidTr="00363C1F">
        <w:tc>
          <w:tcPr>
            <w:tcW w:w="1132" w:type="dxa"/>
          </w:tcPr>
          <w:p w14:paraId="0AF4AAD1" w14:textId="1C8208FA" w:rsidR="003B7231" w:rsidRPr="00363C1F" w:rsidRDefault="003B7231" w:rsidP="003B7231">
            <w:pPr>
              <w:pStyle w:val="ListParagraph"/>
              <w:ind w:left="0" w:firstLine="0"/>
              <w:rPr>
                <w:b/>
                <w:bCs/>
                <w:color w:val="auto"/>
                <w:sz w:val="24"/>
                <w:szCs w:val="28"/>
              </w:rPr>
            </w:pPr>
            <w:r w:rsidRPr="00363C1F">
              <w:rPr>
                <w:b/>
                <w:bCs/>
                <w:color w:val="auto"/>
                <w:sz w:val="24"/>
                <w:szCs w:val="28"/>
              </w:rPr>
              <w:t>Element</w:t>
            </w:r>
          </w:p>
        </w:tc>
        <w:tc>
          <w:tcPr>
            <w:tcW w:w="2294" w:type="dxa"/>
          </w:tcPr>
          <w:p w14:paraId="6749C740" w14:textId="66E5AD41" w:rsidR="003B7231" w:rsidRPr="00363C1F" w:rsidRDefault="003B7231" w:rsidP="003B7231">
            <w:pPr>
              <w:pStyle w:val="ListParagraph"/>
              <w:ind w:left="0" w:firstLine="0"/>
              <w:rPr>
                <w:b/>
                <w:bCs/>
                <w:color w:val="auto"/>
                <w:sz w:val="24"/>
                <w:szCs w:val="28"/>
              </w:rPr>
            </w:pPr>
            <w:r w:rsidRPr="00363C1F">
              <w:rPr>
                <w:b/>
                <w:bCs/>
                <w:color w:val="auto"/>
                <w:sz w:val="24"/>
                <w:szCs w:val="28"/>
              </w:rPr>
              <w:t>Text</w:t>
            </w:r>
          </w:p>
        </w:tc>
        <w:tc>
          <w:tcPr>
            <w:tcW w:w="1574" w:type="dxa"/>
          </w:tcPr>
          <w:p w14:paraId="146DCC5A" w14:textId="457590A0" w:rsidR="003B7231" w:rsidRPr="00363C1F" w:rsidRDefault="003B7231" w:rsidP="003B7231">
            <w:pPr>
              <w:pStyle w:val="ListParagraph"/>
              <w:ind w:left="0" w:firstLine="0"/>
              <w:rPr>
                <w:b/>
                <w:bCs/>
                <w:color w:val="auto"/>
                <w:sz w:val="24"/>
                <w:szCs w:val="28"/>
              </w:rPr>
            </w:pPr>
            <w:r w:rsidRPr="00363C1F">
              <w:rPr>
                <w:b/>
                <w:bCs/>
                <w:color w:val="auto"/>
                <w:sz w:val="24"/>
                <w:szCs w:val="28"/>
              </w:rPr>
              <w:t>Assessed in Test</w:t>
            </w:r>
          </w:p>
        </w:tc>
        <w:tc>
          <w:tcPr>
            <w:tcW w:w="1574" w:type="dxa"/>
          </w:tcPr>
          <w:p w14:paraId="534553F6" w14:textId="5EED148A" w:rsidR="003B7231" w:rsidRPr="00363C1F" w:rsidRDefault="003B7231" w:rsidP="003B7231">
            <w:pPr>
              <w:pStyle w:val="ListParagraph"/>
              <w:ind w:left="0" w:firstLine="0"/>
              <w:rPr>
                <w:b/>
                <w:bCs/>
                <w:color w:val="auto"/>
                <w:sz w:val="24"/>
                <w:szCs w:val="28"/>
              </w:rPr>
            </w:pPr>
            <w:r w:rsidRPr="00363C1F">
              <w:rPr>
                <w:b/>
                <w:bCs/>
                <w:color w:val="auto"/>
                <w:sz w:val="24"/>
                <w:szCs w:val="28"/>
              </w:rPr>
              <w:t>Assessed in Practical</w:t>
            </w:r>
          </w:p>
        </w:tc>
        <w:tc>
          <w:tcPr>
            <w:tcW w:w="1574" w:type="dxa"/>
          </w:tcPr>
          <w:p w14:paraId="25B2F835" w14:textId="20585839" w:rsidR="003B7231" w:rsidRPr="00363C1F" w:rsidRDefault="003B7231" w:rsidP="003B7231">
            <w:pPr>
              <w:pStyle w:val="ListParagraph"/>
              <w:ind w:left="0" w:firstLine="0"/>
              <w:rPr>
                <w:b/>
                <w:bCs/>
                <w:color w:val="auto"/>
                <w:sz w:val="24"/>
                <w:szCs w:val="28"/>
              </w:rPr>
            </w:pPr>
            <w:r w:rsidRPr="00363C1F">
              <w:rPr>
                <w:b/>
                <w:bCs/>
                <w:color w:val="auto"/>
                <w:sz w:val="24"/>
                <w:szCs w:val="28"/>
              </w:rPr>
              <w:t>Assessed in Interview</w:t>
            </w:r>
          </w:p>
        </w:tc>
      </w:tr>
      <w:tr w:rsidR="003B7231" w14:paraId="79EE2711" w14:textId="77777777" w:rsidTr="00363C1F">
        <w:tc>
          <w:tcPr>
            <w:tcW w:w="1132" w:type="dxa"/>
          </w:tcPr>
          <w:p w14:paraId="494EAD8C" w14:textId="63E945FB" w:rsidR="003B7231" w:rsidRDefault="003B7231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S7</w:t>
            </w:r>
          </w:p>
        </w:tc>
        <w:tc>
          <w:tcPr>
            <w:tcW w:w="2294" w:type="dxa"/>
          </w:tcPr>
          <w:p w14:paraId="6A64B0FE" w14:textId="643165B1" w:rsidR="003B7231" w:rsidRDefault="003B7231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Communicate with and provide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3E6F803" w14:textId="40EA524A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3EC5489B" w14:textId="32FA744D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S7i</w:t>
            </w:r>
          </w:p>
        </w:tc>
        <w:tc>
          <w:tcPr>
            <w:tcW w:w="1574" w:type="dxa"/>
          </w:tcPr>
          <w:p w14:paraId="317F4105" w14:textId="0F343E39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S7ii</w:t>
            </w:r>
          </w:p>
        </w:tc>
      </w:tr>
      <w:tr w:rsidR="003B7231" w14:paraId="722C6D43" w14:textId="77777777" w:rsidTr="00363C1F">
        <w:tc>
          <w:tcPr>
            <w:tcW w:w="1132" w:type="dxa"/>
          </w:tcPr>
          <w:p w14:paraId="405DB79A" w14:textId="2366EF3F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S9</w:t>
            </w:r>
          </w:p>
        </w:tc>
        <w:tc>
          <w:tcPr>
            <w:tcW w:w="2294" w:type="dxa"/>
          </w:tcPr>
          <w:p w14:paraId="665975AC" w14:textId="0C212C8B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Read, understand and interpret …</w:t>
            </w:r>
          </w:p>
        </w:tc>
        <w:tc>
          <w:tcPr>
            <w:tcW w:w="1574" w:type="dxa"/>
          </w:tcPr>
          <w:p w14:paraId="11042273" w14:textId="0FC97B1E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S9i</w:t>
            </w:r>
          </w:p>
        </w:tc>
        <w:tc>
          <w:tcPr>
            <w:tcW w:w="1574" w:type="dxa"/>
          </w:tcPr>
          <w:p w14:paraId="66AA5CE2" w14:textId="170A5625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S9ii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0BA3267" w14:textId="66DAE02D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</w:tr>
      <w:tr w:rsidR="003B7231" w14:paraId="7FDF8C12" w14:textId="77777777" w:rsidTr="00363C1F">
        <w:tc>
          <w:tcPr>
            <w:tcW w:w="1132" w:type="dxa"/>
          </w:tcPr>
          <w:p w14:paraId="2D6886FF" w14:textId="6F53B057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S13</w:t>
            </w:r>
          </w:p>
        </w:tc>
        <w:tc>
          <w:tcPr>
            <w:tcW w:w="2294" w:type="dxa"/>
          </w:tcPr>
          <w:p w14:paraId="1E0FAE98" w14:textId="5FD975AD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Install, maintain, replace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5AA9BB68" w14:textId="3C65F188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3C877BD8" w14:textId="7A145AC2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S13i</w:t>
            </w:r>
          </w:p>
        </w:tc>
        <w:tc>
          <w:tcPr>
            <w:tcW w:w="1574" w:type="dxa"/>
          </w:tcPr>
          <w:p w14:paraId="34A6D8FF" w14:textId="1AC0551D" w:rsidR="003B7231" w:rsidRDefault="00FA2E17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S13ii</w:t>
            </w:r>
          </w:p>
        </w:tc>
      </w:tr>
      <w:tr w:rsidR="00FA2E17" w14:paraId="788BD25C" w14:textId="77777777" w:rsidTr="00363C1F">
        <w:tc>
          <w:tcPr>
            <w:tcW w:w="1132" w:type="dxa"/>
          </w:tcPr>
          <w:p w14:paraId="0FBCAD5B" w14:textId="30E53862" w:rsidR="00FA2E17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B4</w:t>
            </w:r>
          </w:p>
        </w:tc>
        <w:tc>
          <w:tcPr>
            <w:tcW w:w="2294" w:type="dxa"/>
          </w:tcPr>
          <w:p w14:paraId="54532558" w14:textId="2E00B087" w:rsidR="00FA2E17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Work effectively and safely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14CC7E08" w14:textId="4AD6AA8E" w:rsidR="00FA2E17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040BC350" w14:textId="6FBAD979" w:rsidR="00FA2E17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B4i</w:t>
            </w:r>
          </w:p>
        </w:tc>
        <w:tc>
          <w:tcPr>
            <w:tcW w:w="1574" w:type="dxa"/>
          </w:tcPr>
          <w:p w14:paraId="525095B3" w14:textId="26A4744A" w:rsidR="00FA2E17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B4ii</w:t>
            </w:r>
          </w:p>
        </w:tc>
      </w:tr>
      <w:tr w:rsidR="00403DDB" w14:paraId="59B1DD78" w14:textId="77777777" w:rsidTr="00363C1F">
        <w:tc>
          <w:tcPr>
            <w:tcW w:w="1132" w:type="dxa"/>
          </w:tcPr>
          <w:p w14:paraId="17E26A0A" w14:textId="6A09DF82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M2</w:t>
            </w:r>
          </w:p>
        </w:tc>
        <w:tc>
          <w:tcPr>
            <w:tcW w:w="2294" w:type="dxa"/>
          </w:tcPr>
          <w:p w14:paraId="640ACC09" w14:textId="331D6918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Inspect and monitor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D425D46" w14:textId="44C3CC6E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4600FE67" w14:textId="7AC454AE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M2i</w:t>
            </w:r>
          </w:p>
        </w:tc>
        <w:tc>
          <w:tcPr>
            <w:tcW w:w="1574" w:type="dxa"/>
          </w:tcPr>
          <w:p w14:paraId="2F2C8332" w14:textId="5FA3DAED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M2ii</w:t>
            </w:r>
          </w:p>
        </w:tc>
      </w:tr>
      <w:tr w:rsidR="00403DDB" w14:paraId="76F18B32" w14:textId="77777777" w:rsidTr="00363C1F">
        <w:tc>
          <w:tcPr>
            <w:tcW w:w="1132" w:type="dxa"/>
          </w:tcPr>
          <w:p w14:paraId="178A294D" w14:textId="5FDDD3B6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M8</w:t>
            </w:r>
          </w:p>
        </w:tc>
        <w:tc>
          <w:tcPr>
            <w:tcW w:w="2294" w:type="dxa"/>
          </w:tcPr>
          <w:p w14:paraId="2A5F273F" w14:textId="2BF0927B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Test, service and repair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1F715F2D" w14:textId="45A6371C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5B5CF92B" w14:textId="7FA1BB65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M8i</w:t>
            </w:r>
          </w:p>
        </w:tc>
        <w:tc>
          <w:tcPr>
            <w:tcW w:w="1574" w:type="dxa"/>
          </w:tcPr>
          <w:p w14:paraId="18CFCCD3" w14:textId="756123B7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M8ii</w:t>
            </w:r>
          </w:p>
        </w:tc>
      </w:tr>
      <w:tr w:rsidR="00403DDB" w14:paraId="26F53A84" w14:textId="77777777" w:rsidTr="00363C1F">
        <w:tc>
          <w:tcPr>
            <w:tcW w:w="1132" w:type="dxa"/>
          </w:tcPr>
          <w:p w14:paraId="2E3F047D" w14:textId="5AD5BD16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I2</w:t>
            </w:r>
          </w:p>
        </w:tc>
        <w:tc>
          <w:tcPr>
            <w:tcW w:w="2294" w:type="dxa"/>
          </w:tcPr>
          <w:p w14:paraId="429C03B4" w14:textId="2B1B36BE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Maintain instrumentation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7646F77D" w14:textId="201D9A4C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1B917438" w14:textId="2AA3ABE1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I2i</w:t>
            </w:r>
          </w:p>
        </w:tc>
        <w:tc>
          <w:tcPr>
            <w:tcW w:w="1574" w:type="dxa"/>
          </w:tcPr>
          <w:p w14:paraId="36243AEC" w14:textId="3057BF4C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I2ii</w:t>
            </w:r>
          </w:p>
        </w:tc>
      </w:tr>
      <w:tr w:rsidR="00403DDB" w14:paraId="54566607" w14:textId="77777777" w:rsidTr="00363C1F">
        <w:tc>
          <w:tcPr>
            <w:tcW w:w="1132" w:type="dxa"/>
          </w:tcPr>
          <w:p w14:paraId="7FA2C88D" w14:textId="7A0D2E94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I4</w:t>
            </w:r>
          </w:p>
        </w:tc>
        <w:tc>
          <w:tcPr>
            <w:tcW w:w="2294" w:type="dxa"/>
          </w:tcPr>
          <w:p w14:paraId="22F4CDEC" w14:textId="1BB03FBA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Use instrumentation and control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48CA496" w14:textId="01E1E35D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4292DDC4" w14:textId="43E8271F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I4i</w:t>
            </w:r>
          </w:p>
        </w:tc>
        <w:tc>
          <w:tcPr>
            <w:tcW w:w="1574" w:type="dxa"/>
          </w:tcPr>
          <w:p w14:paraId="175288CA" w14:textId="6FBBF508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I4ii</w:t>
            </w:r>
          </w:p>
        </w:tc>
      </w:tr>
      <w:tr w:rsidR="00403DDB" w14:paraId="65D913E3" w14:textId="77777777" w:rsidTr="00363C1F">
        <w:tc>
          <w:tcPr>
            <w:tcW w:w="1132" w:type="dxa"/>
          </w:tcPr>
          <w:p w14:paraId="119500AC" w14:textId="0F360705" w:rsidR="00403DDB" w:rsidRDefault="00403DDB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I8</w:t>
            </w:r>
          </w:p>
        </w:tc>
        <w:tc>
          <w:tcPr>
            <w:tcW w:w="2294" w:type="dxa"/>
          </w:tcPr>
          <w:p w14:paraId="1C479011" w14:textId="1E4AAA66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Repair, maintain, configure and …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06E9DE4" w14:textId="02D5CA5E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NA</w:t>
            </w:r>
          </w:p>
        </w:tc>
        <w:tc>
          <w:tcPr>
            <w:tcW w:w="1574" w:type="dxa"/>
          </w:tcPr>
          <w:p w14:paraId="2EABF2C5" w14:textId="461D727B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I8i</w:t>
            </w:r>
          </w:p>
        </w:tc>
        <w:tc>
          <w:tcPr>
            <w:tcW w:w="1574" w:type="dxa"/>
          </w:tcPr>
          <w:p w14:paraId="158D393A" w14:textId="4BC28A0A" w:rsidR="00403DDB" w:rsidRDefault="00BB0A10" w:rsidP="003B7231">
            <w:pPr>
              <w:pStyle w:val="ListParagraph"/>
              <w:ind w:left="0" w:firstLine="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I8ii</w:t>
            </w:r>
          </w:p>
        </w:tc>
      </w:tr>
    </w:tbl>
    <w:p w14:paraId="0AF89E1E" w14:textId="6B17E4C0" w:rsidR="003B7231" w:rsidRDefault="003B7231" w:rsidP="003B7231">
      <w:pPr>
        <w:pStyle w:val="ListParagraph"/>
        <w:ind w:left="861" w:firstLine="0"/>
        <w:rPr>
          <w:color w:val="auto"/>
          <w:sz w:val="24"/>
          <w:szCs w:val="28"/>
        </w:rPr>
      </w:pPr>
    </w:p>
    <w:p w14:paraId="0176B79A" w14:textId="48518D4B" w:rsidR="00C46FE1" w:rsidRDefault="00C46FE1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Assessment is carried out </w:t>
      </w:r>
      <w:r w:rsidR="000D4300">
        <w:rPr>
          <w:color w:val="auto"/>
          <w:sz w:val="24"/>
          <w:szCs w:val="28"/>
        </w:rPr>
        <w:t>by independent assessors; there is no option to source assessors from</w:t>
      </w:r>
      <w:r w:rsidR="000A1B4B">
        <w:rPr>
          <w:color w:val="auto"/>
          <w:sz w:val="24"/>
          <w:szCs w:val="28"/>
        </w:rPr>
        <w:t xml:space="preserve"> </w:t>
      </w:r>
      <w:r w:rsidR="000D4300">
        <w:rPr>
          <w:color w:val="auto"/>
          <w:sz w:val="24"/>
          <w:szCs w:val="28"/>
        </w:rPr>
        <w:t xml:space="preserve">the </w:t>
      </w:r>
      <w:r w:rsidR="000A1B4B">
        <w:rPr>
          <w:color w:val="auto"/>
          <w:sz w:val="24"/>
          <w:szCs w:val="28"/>
        </w:rPr>
        <w:t>employer or provider</w:t>
      </w:r>
    </w:p>
    <w:p w14:paraId="7BA664E9" w14:textId="4A6A87D3" w:rsidR="000A1B4B" w:rsidRDefault="000A1B4B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There is no ‘internal </w:t>
      </w:r>
      <w:r w:rsidR="001C7C0A">
        <w:rPr>
          <w:color w:val="auto"/>
          <w:sz w:val="24"/>
          <w:szCs w:val="28"/>
        </w:rPr>
        <w:t>standardisation</w:t>
      </w:r>
      <w:r>
        <w:rPr>
          <w:color w:val="auto"/>
          <w:sz w:val="24"/>
          <w:szCs w:val="28"/>
        </w:rPr>
        <w:t>’</w:t>
      </w:r>
    </w:p>
    <w:p w14:paraId="73E975DA" w14:textId="28A27458" w:rsidR="00694B5F" w:rsidRDefault="00694B5F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There is no final decision panel</w:t>
      </w:r>
    </w:p>
    <w:p w14:paraId="196D9987" w14:textId="4EC1F23C" w:rsidR="00DA176F" w:rsidRDefault="00DA176F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Each element of the standard is only assessed by one assessment method; there is no ‘double assessment’.</w:t>
      </w:r>
    </w:p>
    <w:p w14:paraId="0EAF9CA7" w14:textId="619482DF" w:rsidR="00F80368" w:rsidRDefault="00B227F6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The knowledge test comprises 40 questions (the previous assessment plan did not specify a </w:t>
      </w:r>
      <w:r w:rsidR="00667A26">
        <w:rPr>
          <w:color w:val="auto"/>
          <w:sz w:val="24"/>
          <w:szCs w:val="28"/>
        </w:rPr>
        <w:t>number of questions)</w:t>
      </w:r>
    </w:p>
    <w:p w14:paraId="7695E4A5" w14:textId="364B7D04" w:rsidR="00667A26" w:rsidRDefault="00667A26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 knowledge test only assesses three elements of the standard</w:t>
      </w:r>
      <w:r w:rsidR="00DA176F">
        <w:rPr>
          <w:color w:val="auto"/>
          <w:sz w:val="24"/>
          <w:szCs w:val="28"/>
        </w:rPr>
        <w:t>: K1, K3 and S9i</w:t>
      </w:r>
    </w:p>
    <w:p w14:paraId="0907E044" w14:textId="798DF6C7" w:rsidR="00DA176F" w:rsidRDefault="00527BE9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All three assessment methods take place after Gateway</w:t>
      </w:r>
      <w:r w:rsidR="00FF5334">
        <w:rPr>
          <w:color w:val="auto"/>
          <w:sz w:val="24"/>
          <w:szCs w:val="28"/>
        </w:rPr>
        <w:t xml:space="preserve">, although the portfolio (which is NOT assessed but supports the interview) is compiled during </w:t>
      </w:r>
      <w:r w:rsidR="00C575EE">
        <w:rPr>
          <w:color w:val="auto"/>
          <w:sz w:val="24"/>
          <w:szCs w:val="28"/>
        </w:rPr>
        <w:t>t</w:t>
      </w:r>
      <w:r w:rsidR="00FF5334">
        <w:rPr>
          <w:color w:val="auto"/>
          <w:sz w:val="24"/>
          <w:szCs w:val="28"/>
        </w:rPr>
        <w:t>he last months of training</w:t>
      </w:r>
    </w:p>
    <w:p w14:paraId="3DCE551A" w14:textId="6192BE97" w:rsidR="00527BE9" w:rsidRDefault="00527BE9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Timings are very </w:t>
      </w:r>
      <w:r w:rsidR="00F019B5">
        <w:rPr>
          <w:color w:val="auto"/>
          <w:sz w:val="24"/>
          <w:szCs w:val="28"/>
        </w:rPr>
        <w:t>precise: the practical observation</w:t>
      </w:r>
      <w:r w:rsidR="00057FA3">
        <w:rPr>
          <w:color w:val="auto"/>
          <w:sz w:val="24"/>
          <w:szCs w:val="28"/>
        </w:rPr>
        <w:t xml:space="preserve"> with questions</w:t>
      </w:r>
      <w:r w:rsidR="00F019B5">
        <w:rPr>
          <w:color w:val="auto"/>
          <w:sz w:val="24"/>
          <w:szCs w:val="28"/>
        </w:rPr>
        <w:t xml:space="preserve"> is</w:t>
      </w:r>
      <w:r w:rsidR="00057FA3">
        <w:rPr>
          <w:color w:val="auto"/>
          <w:sz w:val="24"/>
          <w:szCs w:val="28"/>
        </w:rPr>
        <w:t xml:space="preserve"> 4 hours with no more than 10% (24 minutes) variation permitted</w:t>
      </w:r>
      <w:r w:rsidR="004315B4">
        <w:rPr>
          <w:color w:val="auto"/>
          <w:sz w:val="24"/>
          <w:szCs w:val="28"/>
        </w:rPr>
        <w:t xml:space="preserve">, and the interview supported by portfolio is </w:t>
      </w:r>
      <w:r w:rsidR="001532DD">
        <w:rPr>
          <w:color w:val="auto"/>
          <w:sz w:val="24"/>
          <w:szCs w:val="28"/>
        </w:rPr>
        <w:t>60 minutes with no more than 10% (6 minutes) variation permitted</w:t>
      </w:r>
    </w:p>
    <w:p w14:paraId="55A6973F" w14:textId="19E98092" w:rsidR="00A33289" w:rsidRDefault="00A33289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 EPA portfolio should have, typically, 18 pieces of evidence</w:t>
      </w:r>
      <w:r w:rsidR="000871CC">
        <w:rPr>
          <w:color w:val="auto"/>
          <w:sz w:val="24"/>
          <w:szCs w:val="28"/>
        </w:rPr>
        <w:t>. This does not mean 18 jobs, but 18 pieces of evidence specifically covering elements that are assessed in the interview</w:t>
      </w:r>
      <w:r w:rsidR="00984F47">
        <w:rPr>
          <w:color w:val="auto"/>
          <w:sz w:val="24"/>
          <w:szCs w:val="28"/>
        </w:rPr>
        <w:t>. Some pieces of evidence may cover more than one element of the UET standard</w:t>
      </w:r>
      <w:r w:rsidR="009B5056">
        <w:rPr>
          <w:color w:val="auto"/>
          <w:sz w:val="24"/>
          <w:szCs w:val="28"/>
        </w:rPr>
        <w:t>. EUIAS provides an exemplar portfolio mapping document</w:t>
      </w:r>
    </w:p>
    <w:p w14:paraId="2DF6327D" w14:textId="230AFD2F" w:rsidR="005B26F7" w:rsidRDefault="005B26F7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 portfolio must be made available to EUIAS before the Interview to allow the assessor to review</w:t>
      </w:r>
      <w:r w:rsidR="00534E98">
        <w:rPr>
          <w:color w:val="auto"/>
          <w:sz w:val="24"/>
          <w:szCs w:val="28"/>
        </w:rPr>
        <w:t xml:space="preserve"> it, and hence, contextualise the questions to be asked</w:t>
      </w:r>
    </w:p>
    <w:p w14:paraId="779FB842" w14:textId="42468A76" w:rsidR="00D96994" w:rsidRDefault="00D96994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 portfolio must clearly reference the elements of the standard covered to enable the assessor to find each piece of evidence efficiently</w:t>
      </w:r>
    </w:p>
    <w:p w14:paraId="273AACE2" w14:textId="0659370A" w:rsidR="000B150A" w:rsidRDefault="000B150A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The apprentice is allowed to reference the evidence in the portfolio to support their </w:t>
      </w:r>
      <w:r w:rsidR="007149EE">
        <w:rPr>
          <w:color w:val="auto"/>
          <w:sz w:val="24"/>
          <w:szCs w:val="28"/>
        </w:rPr>
        <w:t>responses in the EPA Interview</w:t>
      </w:r>
    </w:p>
    <w:p w14:paraId="27A12AAA" w14:textId="1F0497BC" w:rsidR="007149EE" w:rsidRDefault="007149EE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The practical observation (trade test) must be carried out on employer premises</w:t>
      </w:r>
      <w:r w:rsidR="0002509A">
        <w:rPr>
          <w:color w:val="auto"/>
          <w:sz w:val="24"/>
          <w:szCs w:val="28"/>
        </w:rPr>
        <w:t xml:space="preserve"> and designed to cover the </w:t>
      </w:r>
      <w:r w:rsidR="00685208">
        <w:rPr>
          <w:color w:val="auto"/>
          <w:sz w:val="24"/>
          <w:szCs w:val="28"/>
        </w:rPr>
        <w:t>knowledge, skills and behaviours specified in the standard</w:t>
      </w:r>
    </w:p>
    <w:p w14:paraId="0E3DB947" w14:textId="1787F664" w:rsidR="007435FE" w:rsidRDefault="00457273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Each assessment method is no longer ‘weighted’</w:t>
      </w:r>
      <w:r w:rsidR="00007623">
        <w:rPr>
          <w:color w:val="auto"/>
          <w:sz w:val="24"/>
          <w:szCs w:val="28"/>
        </w:rPr>
        <w:t xml:space="preserve">.  The overall grading is determined by the </w:t>
      </w:r>
      <w:r w:rsidR="004B425C">
        <w:rPr>
          <w:color w:val="auto"/>
          <w:sz w:val="24"/>
          <w:szCs w:val="28"/>
        </w:rPr>
        <w:t>combination of grades achieved in each assessment</w:t>
      </w:r>
    </w:p>
    <w:p w14:paraId="560423FB" w14:textId="69928809" w:rsidR="004B425C" w:rsidRDefault="004B425C" w:rsidP="00F80368">
      <w:pPr>
        <w:pStyle w:val="ListParagraph"/>
        <w:numPr>
          <w:ilvl w:val="0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Grades available for each assessment method </w:t>
      </w:r>
      <w:r w:rsidR="00EC4832">
        <w:rPr>
          <w:color w:val="auto"/>
          <w:sz w:val="24"/>
          <w:szCs w:val="28"/>
        </w:rPr>
        <w:t>are different:</w:t>
      </w:r>
    </w:p>
    <w:p w14:paraId="3579B915" w14:textId="68BDB558" w:rsidR="00EC4832" w:rsidRDefault="00B12984" w:rsidP="00EC4832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Knowledge</w:t>
      </w:r>
      <w:r w:rsidR="003170D4">
        <w:rPr>
          <w:color w:val="auto"/>
          <w:sz w:val="24"/>
          <w:szCs w:val="28"/>
        </w:rPr>
        <w:t xml:space="preserve"> Test</w:t>
      </w:r>
      <w:r w:rsidR="00902626">
        <w:rPr>
          <w:color w:val="auto"/>
          <w:sz w:val="24"/>
          <w:szCs w:val="28"/>
        </w:rPr>
        <w:t>:</w:t>
      </w:r>
      <w:r w:rsidR="003170D4">
        <w:rPr>
          <w:color w:val="auto"/>
          <w:sz w:val="24"/>
          <w:szCs w:val="28"/>
        </w:rPr>
        <w:t xml:space="preserve"> Pass</w:t>
      </w:r>
      <w:r w:rsidR="00902626">
        <w:rPr>
          <w:color w:val="auto"/>
          <w:sz w:val="24"/>
          <w:szCs w:val="28"/>
        </w:rPr>
        <w:t xml:space="preserve"> </w:t>
      </w:r>
      <w:r w:rsidR="003170D4">
        <w:rPr>
          <w:color w:val="auto"/>
          <w:sz w:val="24"/>
          <w:szCs w:val="28"/>
        </w:rPr>
        <w:t xml:space="preserve">/ Fail </w:t>
      </w:r>
    </w:p>
    <w:p w14:paraId="16EDBBF6" w14:textId="32C8949B" w:rsidR="003170D4" w:rsidRDefault="003170D4" w:rsidP="00EC4832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Observation with questions</w:t>
      </w:r>
      <w:r w:rsidR="00902626">
        <w:rPr>
          <w:color w:val="auto"/>
          <w:sz w:val="24"/>
          <w:szCs w:val="28"/>
        </w:rPr>
        <w:t>: Pass / Distinction / Fail</w:t>
      </w:r>
      <w:r>
        <w:rPr>
          <w:color w:val="auto"/>
          <w:sz w:val="24"/>
          <w:szCs w:val="28"/>
        </w:rPr>
        <w:t xml:space="preserve"> </w:t>
      </w:r>
    </w:p>
    <w:p w14:paraId="3347B715" w14:textId="20A5880E" w:rsidR="00C26765" w:rsidRDefault="00C26765" w:rsidP="00C26765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Interview</w:t>
      </w:r>
      <w:r>
        <w:rPr>
          <w:color w:val="auto"/>
          <w:sz w:val="24"/>
          <w:szCs w:val="28"/>
        </w:rPr>
        <w:t xml:space="preserve">: Pass / Distinction / Fail </w:t>
      </w:r>
    </w:p>
    <w:p w14:paraId="096133E4" w14:textId="7CDD83E9" w:rsidR="00C26765" w:rsidRPr="003D6186" w:rsidRDefault="00C26765" w:rsidP="003D6186">
      <w:pPr>
        <w:pStyle w:val="ListParagraph"/>
        <w:numPr>
          <w:ilvl w:val="1"/>
          <w:numId w:val="4"/>
        </w:numPr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Overall: </w:t>
      </w:r>
      <w:r>
        <w:rPr>
          <w:color w:val="auto"/>
          <w:sz w:val="24"/>
          <w:szCs w:val="28"/>
        </w:rPr>
        <w:t xml:space="preserve">Pass / Distinction / Fail </w:t>
      </w:r>
    </w:p>
    <w:p w14:paraId="53F9DAB2" w14:textId="77777777" w:rsidR="00C26765" w:rsidRPr="00C26765" w:rsidRDefault="00C26765" w:rsidP="00C26765">
      <w:pPr>
        <w:ind w:left="1221" w:firstLine="0"/>
        <w:rPr>
          <w:color w:val="auto"/>
          <w:sz w:val="24"/>
          <w:szCs w:val="28"/>
        </w:rPr>
      </w:pPr>
    </w:p>
    <w:sectPr w:rsidR="00C26765" w:rsidRPr="00C26765" w:rsidSect="009D1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41"/>
      <w:pgMar w:top="1440" w:right="1440" w:bottom="1440" w:left="1440" w:header="582" w:footer="3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B6426" w14:textId="77777777" w:rsidR="007F209A" w:rsidRDefault="007F209A">
      <w:pPr>
        <w:spacing w:after="0" w:line="240" w:lineRule="auto"/>
      </w:pPr>
      <w:r>
        <w:separator/>
      </w:r>
    </w:p>
  </w:endnote>
  <w:endnote w:type="continuationSeparator" w:id="0">
    <w:p w14:paraId="70D4304B" w14:textId="77777777" w:rsidR="007F209A" w:rsidRDefault="007F209A">
      <w:pPr>
        <w:spacing w:after="0" w:line="240" w:lineRule="auto"/>
      </w:pPr>
      <w:r>
        <w:continuationSeparator/>
      </w:r>
    </w:p>
  </w:endnote>
  <w:endnote w:type="continuationNotice" w:id="1">
    <w:p w14:paraId="167A6F31" w14:textId="77777777" w:rsidR="007F209A" w:rsidRDefault="007F2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AC1E" w14:textId="77777777" w:rsidR="005436F3" w:rsidRDefault="00FF5C17">
    <w:pPr>
      <w:spacing w:after="0" w:line="259" w:lineRule="auto"/>
      <w:ind w:left="-22" w:right="0" w:firstLine="0"/>
    </w:pPr>
    <w:r>
      <w:rPr>
        <w:color w:val="981D97"/>
        <w:sz w:val="18"/>
      </w:rPr>
      <w:t xml:space="preserve">Utilities Engineering Technician EPA Specification ST0159/AP03 v1.0 </w:t>
    </w:r>
  </w:p>
  <w:p w14:paraId="2E6AD0FE" w14:textId="77777777" w:rsidR="005436F3" w:rsidRDefault="00FF5C17">
    <w:pPr>
      <w:tabs>
        <w:tab w:val="center" w:pos="7672"/>
      </w:tabs>
      <w:spacing w:after="0" w:line="259" w:lineRule="auto"/>
      <w:ind w:left="-22" w:right="0" w:firstLine="0"/>
    </w:pPr>
    <w:r>
      <w:rPr>
        <w:color w:val="981D97"/>
        <w:sz w:val="18"/>
      </w:rPr>
      <w:t xml:space="preserve">© 2021 Energy &amp; Utility Skills Group </w:t>
    </w:r>
    <w:r>
      <w:rPr>
        <w:color w:val="981D97"/>
        <w:sz w:val="18"/>
      </w:rPr>
      <w:tab/>
      <w:t xml:space="preserve">Section 5: Assessment: Interview </w:t>
    </w:r>
  </w:p>
  <w:p w14:paraId="52E06ECC" w14:textId="77777777" w:rsidR="005436F3" w:rsidRDefault="00FF5C17">
    <w:pPr>
      <w:spacing w:after="0" w:line="259" w:lineRule="auto"/>
      <w:ind w:left="0" w:right="-21" w:firstLine="0"/>
      <w:jc w:val="right"/>
    </w:pPr>
    <w:r>
      <w:rPr>
        <w:color w:val="981D97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81D97"/>
        <w:sz w:val="18"/>
      </w:rPr>
      <w:t>79</w:t>
    </w:r>
    <w:r>
      <w:rPr>
        <w:color w:val="981D97"/>
        <w:sz w:val="18"/>
      </w:rPr>
      <w:fldChar w:fldCharType="end"/>
    </w:r>
    <w:r>
      <w:rPr>
        <w:color w:val="981D97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6127" w14:textId="28F613C8" w:rsidR="005436F3" w:rsidRDefault="004417C8">
    <w:pPr>
      <w:spacing w:after="0" w:line="259" w:lineRule="auto"/>
      <w:ind w:left="-22" w:right="0" w:firstLine="0"/>
    </w:pPr>
    <w:r>
      <w:rPr>
        <w:color w:val="981D97"/>
        <w:sz w:val="18"/>
      </w:rPr>
      <w:ptab w:relativeTo="margin" w:alignment="left" w:leader="none"/>
    </w:r>
    <w:r w:rsidR="00FF5C17">
      <w:rPr>
        <w:color w:val="981D97"/>
        <w:sz w:val="18"/>
      </w:rPr>
      <w:t xml:space="preserve">Utilities Engineering Technician AP03 </w:t>
    </w:r>
    <w:r w:rsidR="00674AA7">
      <w:rPr>
        <w:color w:val="981D97"/>
        <w:sz w:val="18"/>
      </w:rPr>
      <w:t>Main Differences v1.</w:t>
    </w:r>
    <w:r>
      <w:rPr>
        <w:color w:val="981D97"/>
        <w:sz w:val="18"/>
      </w:rPr>
      <w:t>1</w:t>
    </w:r>
    <w:r w:rsidR="00FF5C17">
      <w:rPr>
        <w:color w:val="981D97"/>
        <w:sz w:val="18"/>
      </w:rPr>
      <w:t xml:space="preserve"> </w:t>
    </w:r>
    <w:r w:rsidR="00531DB8">
      <w:rPr>
        <w:color w:val="981D97"/>
        <w:sz w:val="18"/>
      </w:rPr>
      <w:ptab w:relativeTo="margin" w:alignment="right" w:leader="none"/>
    </w:r>
  </w:p>
  <w:p w14:paraId="0B9E6811" w14:textId="77777777" w:rsidR="008076BF" w:rsidRDefault="00FF5C17">
    <w:pPr>
      <w:tabs>
        <w:tab w:val="center" w:pos="7672"/>
      </w:tabs>
      <w:spacing w:after="0" w:line="259" w:lineRule="auto"/>
      <w:ind w:left="-22" w:right="0" w:firstLine="0"/>
      <w:rPr>
        <w:color w:val="981D97"/>
        <w:sz w:val="18"/>
      </w:rPr>
    </w:pPr>
    <w:r>
      <w:rPr>
        <w:color w:val="981D97"/>
        <w:sz w:val="18"/>
      </w:rPr>
      <w:t xml:space="preserve">© 2021 Energy &amp; Utility Skills Group </w:t>
    </w:r>
  </w:p>
  <w:p w14:paraId="63D9F78C" w14:textId="71897F3B" w:rsidR="005436F3" w:rsidRPr="009D1A1B" w:rsidRDefault="008076BF" w:rsidP="009D1A1B">
    <w:pPr>
      <w:pStyle w:val="Footer"/>
      <w:tabs>
        <w:tab w:val="left" w:pos="3402"/>
        <w:tab w:val="right" w:pos="8360"/>
        <w:tab w:val="left" w:pos="12191"/>
      </w:tabs>
      <w:jc w:val="right"/>
      <w:rPr>
        <w:rFonts w:ascii="Trebuchet MS" w:hAnsi="Trebuchet MS"/>
      </w:rPr>
    </w:pPr>
    <w:r>
      <w:rPr>
        <w:color w:val="981D97"/>
        <w:sz w:val="18"/>
      </w:rPr>
      <w:ptab w:relativeTo="margin" w:alignment="right" w:leader="none"/>
    </w:r>
    <w:r w:rsidRPr="00E60995">
      <w:rPr>
        <w:color w:val="981D97"/>
        <w:sz w:val="18"/>
      </w:rPr>
      <w:t xml:space="preserve"> </w:t>
    </w:r>
    <w:r w:rsidRPr="00E60995">
      <w:rPr>
        <w:color w:val="981D97"/>
        <w:sz w:val="18"/>
      </w:rPr>
      <w:t xml:space="preserve">Page </w:t>
    </w:r>
    <w:sdt>
      <w:sdtPr>
        <w:rPr>
          <w:color w:val="981D97"/>
          <w:sz w:val="18"/>
        </w:rPr>
        <w:id w:val="-1253043614"/>
        <w:docPartObj>
          <w:docPartGallery w:val="Page Numbers (Bottom of Page)"/>
          <w:docPartUnique/>
        </w:docPartObj>
      </w:sdtPr>
      <w:sdtContent>
        <w:r w:rsidRPr="00E60995">
          <w:rPr>
            <w:color w:val="981D97"/>
            <w:sz w:val="18"/>
          </w:rPr>
          <w:fldChar w:fldCharType="begin"/>
        </w:r>
        <w:r w:rsidRPr="00E60995">
          <w:rPr>
            <w:color w:val="981D97"/>
            <w:sz w:val="18"/>
          </w:rPr>
          <w:instrText xml:space="preserve"> PAGE   \* MERGEFORMAT </w:instrText>
        </w:r>
        <w:r w:rsidRPr="00E60995">
          <w:rPr>
            <w:color w:val="981D97"/>
            <w:sz w:val="18"/>
          </w:rPr>
          <w:fldChar w:fldCharType="separate"/>
        </w:r>
        <w:r w:rsidRPr="00E60995">
          <w:rPr>
            <w:color w:val="981D97"/>
            <w:sz w:val="18"/>
          </w:rPr>
          <w:t>17</w:t>
        </w:r>
        <w:r w:rsidRPr="00E60995">
          <w:rPr>
            <w:color w:val="981D97"/>
            <w:sz w:val="18"/>
          </w:rPr>
          <w:fldChar w:fldCharType="end"/>
        </w:r>
      </w:sdtContent>
    </w:sdt>
    <w:r w:rsidRPr="00E60995">
      <w:rPr>
        <w:color w:val="981D97"/>
        <w:sz w:val="18"/>
      </w:rPr>
      <w:t xml:space="preserve"> </w:t>
    </w:r>
  </w:p>
  <w:p w14:paraId="3BFAA2A8" w14:textId="19203747" w:rsidR="005436F3" w:rsidRDefault="005436F3">
    <w:pPr>
      <w:spacing w:after="0" w:line="259" w:lineRule="auto"/>
      <w:ind w:left="0" w:right="-2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7D32" w14:textId="77777777" w:rsidR="005436F3" w:rsidRDefault="00FF5C17">
    <w:pPr>
      <w:spacing w:after="0" w:line="259" w:lineRule="auto"/>
      <w:ind w:left="-22" w:right="0" w:firstLine="0"/>
    </w:pPr>
    <w:r>
      <w:rPr>
        <w:color w:val="981D97"/>
        <w:sz w:val="18"/>
      </w:rPr>
      <w:t xml:space="preserve">Utilities Engineering Technician EPA Specification ST0159/AP03 v1.0 </w:t>
    </w:r>
  </w:p>
  <w:p w14:paraId="1194910D" w14:textId="77777777" w:rsidR="005436F3" w:rsidRDefault="00FF5C17">
    <w:pPr>
      <w:tabs>
        <w:tab w:val="center" w:pos="7672"/>
      </w:tabs>
      <w:spacing w:after="0" w:line="259" w:lineRule="auto"/>
      <w:ind w:left="-22" w:right="0" w:firstLine="0"/>
    </w:pPr>
    <w:r>
      <w:rPr>
        <w:color w:val="981D97"/>
        <w:sz w:val="18"/>
      </w:rPr>
      <w:t xml:space="preserve">© 2021 Energy &amp; Utility Skills Group </w:t>
    </w:r>
    <w:r>
      <w:rPr>
        <w:color w:val="981D97"/>
        <w:sz w:val="18"/>
      </w:rPr>
      <w:tab/>
      <w:t xml:space="preserve">Section 5: Assessment: Interview </w:t>
    </w:r>
  </w:p>
  <w:p w14:paraId="0B8D67CF" w14:textId="77777777" w:rsidR="005436F3" w:rsidRDefault="00FF5C17">
    <w:pPr>
      <w:spacing w:after="0" w:line="259" w:lineRule="auto"/>
      <w:ind w:left="0" w:right="-21" w:firstLine="0"/>
      <w:jc w:val="right"/>
    </w:pPr>
    <w:r>
      <w:rPr>
        <w:color w:val="981D97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81D97"/>
        <w:sz w:val="18"/>
      </w:rPr>
      <w:t>79</w:t>
    </w:r>
    <w:r>
      <w:rPr>
        <w:color w:val="981D97"/>
        <w:sz w:val="18"/>
      </w:rPr>
      <w:fldChar w:fldCharType="end"/>
    </w:r>
    <w:r>
      <w:rPr>
        <w:color w:val="981D97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4EFD" w14:textId="77777777" w:rsidR="007F209A" w:rsidRDefault="007F209A">
      <w:pPr>
        <w:spacing w:after="0" w:line="240" w:lineRule="auto"/>
      </w:pPr>
      <w:r>
        <w:separator/>
      </w:r>
    </w:p>
  </w:footnote>
  <w:footnote w:type="continuationSeparator" w:id="0">
    <w:p w14:paraId="6B8AAA5A" w14:textId="77777777" w:rsidR="007F209A" w:rsidRDefault="007F209A">
      <w:pPr>
        <w:spacing w:after="0" w:line="240" w:lineRule="auto"/>
      </w:pPr>
      <w:r>
        <w:continuationSeparator/>
      </w:r>
    </w:p>
  </w:footnote>
  <w:footnote w:type="continuationNotice" w:id="1">
    <w:p w14:paraId="0364BFAC" w14:textId="77777777" w:rsidR="007F209A" w:rsidRDefault="007F2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1C63" w14:textId="77777777" w:rsidR="005436F3" w:rsidRDefault="00FF5C17">
    <w:pPr>
      <w:spacing w:after="0" w:line="259" w:lineRule="auto"/>
      <w:ind w:left="-1440" w:right="1540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F2DB5B" wp14:editId="51D61ACF">
          <wp:simplePos x="0" y="0"/>
          <wp:positionH relativeFrom="page">
            <wp:posOffset>7370446</wp:posOffset>
          </wp:positionH>
          <wp:positionV relativeFrom="page">
            <wp:posOffset>369572</wp:posOffset>
          </wp:positionV>
          <wp:extent cx="2421645" cy="543560"/>
          <wp:effectExtent l="0" t="0" r="0" b="0"/>
          <wp:wrapSquare wrapText="bothSides"/>
          <wp:docPr id="165" name="Picture 1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F1CC" w14:textId="77777777" w:rsidR="005436F3" w:rsidRDefault="00FF5C17">
    <w:pPr>
      <w:spacing w:after="0" w:line="259" w:lineRule="auto"/>
      <w:ind w:left="-1440" w:right="15401" w:firstLine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DCF4EA5" wp14:editId="0635548E">
          <wp:simplePos x="0" y="0"/>
          <wp:positionH relativeFrom="page">
            <wp:posOffset>4824095</wp:posOffset>
          </wp:positionH>
          <wp:positionV relativeFrom="page">
            <wp:posOffset>312420</wp:posOffset>
          </wp:positionV>
          <wp:extent cx="2421645" cy="5435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2DC2" w14:textId="77777777" w:rsidR="005436F3" w:rsidRDefault="00FF5C17">
    <w:pPr>
      <w:spacing w:after="0" w:line="259" w:lineRule="auto"/>
      <w:ind w:left="-1440" w:right="15401" w:firstLine="0"/>
    </w:pPr>
    <w:r>
      <w:rPr>
        <w:noProof/>
      </w:rPr>
      <w:drawing>
        <wp:anchor distT="0" distB="0" distL="114300" distR="114300" simplePos="0" relativeHeight="251658242" behindDoc="0" locked="0" layoutInCell="1" allowOverlap="0" wp14:anchorId="2C18533A" wp14:editId="3C3D9A4F">
          <wp:simplePos x="0" y="0"/>
          <wp:positionH relativeFrom="page">
            <wp:posOffset>7370446</wp:posOffset>
          </wp:positionH>
          <wp:positionV relativeFrom="page">
            <wp:posOffset>369572</wp:posOffset>
          </wp:positionV>
          <wp:extent cx="2421645" cy="5435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1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389F"/>
    <w:multiLevelType w:val="hybridMultilevel"/>
    <w:tmpl w:val="B15E0D94"/>
    <w:lvl w:ilvl="0" w:tplc="220A3A06">
      <w:start w:val="1"/>
      <w:numFmt w:val="bullet"/>
      <w:lvlText w:val="•"/>
      <w:lvlJc w:val="left"/>
      <w:pPr>
        <w:ind w:left="1820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E8154">
      <w:start w:val="1"/>
      <w:numFmt w:val="bullet"/>
      <w:lvlText w:val="o"/>
      <w:lvlJc w:val="left"/>
      <w:pPr>
        <w:ind w:left="238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EF42">
      <w:start w:val="1"/>
      <w:numFmt w:val="bullet"/>
      <w:lvlText w:val="▪"/>
      <w:lvlJc w:val="left"/>
      <w:pPr>
        <w:ind w:left="310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C77DC">
      <w:start w:val="1"/>
      <w:numFmt w:val="bullet"/>
      <w:lvlText w:val="•"/>
      <w:lvlJc w:val="left"/>
      <w:pPr>
        <w:ind w:left="382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CF34A">
      <w:start w:val="1"/>
      <w:numFmt w:val="bullet"/>
      <w:lvlText w:val="o"/>
      <w:lvlJc w:val="left"/>
      <w:pPr>
        <w:ind w:left="454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6A11C">
      <w:start w:val="1"/>
      <w:numFmt w:val="bullet"/>
      <w:lvlText w:val="▪"/>
      <w:lvlJc w:val="left"/>
      <w:pPr>
        <w:ind w:left="526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60742">
      <w:start w:val="1"/>
      <w:numFmt w:val="bullet"/>
      <w:lvlText w:val="•"/>
      <w:lvlJc w:val="left"/>
      <w:pPr>
        <w:ind w:left="598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EEAF6">
      <w:start w:val="1"/>
      <w:numFmt w:val="bullet"/>
      <w:lvlText w:val="o"/>
      <w:lvlJc w:val="left"/>
      <w:pPr>
        <w:ind w:left="670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86468">
      <w:start w:val="1"/>
      <w:numFmt w:val="bullet"/>
      <w:lvlText w:val="▪"/>
      <w:lvlJc w:val="left"/>
      <w:pPr>
        <w:ind w:left="7423"/>
      </w:pPr>
      <w:rPr>
        <w:rFonts w:ascii="DIN OT" w:eastAsia="DIN OT" w:hAnsi="DIN OT" w:cs="DIN OT"/>
        <w:b w:val="0"/>
        <w:i w:val="0"/>
        <w:strike w:val="0"/>
        <w:dstrike w:val="0"/>
        <w:color w:val="FFFF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D5924"/>
    <w:multiLevelType w:val="hybridMultilevel"/>
    <w:tmpl w:val="1CFAE8FE"/>
    <w:lvl w:ilvl="0" w:tplc="09F8C87E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D07D36">
      <w:start w:val="1"/>
      <w:numFmt w:val="bullet"/>
      <w:lvlText w:val="o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C6494">
      <w:start w:val="1"/>
      <w:numFmt w:val="bullet"/>
      <w:lvlText w:val="▪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278C6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8DA58">
      <w:start w:val="1"/>
      <w:numFmt w:val="bullet"/>
      <w:lvlText w:val="o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027F8">
      <w:start w:val="1"/>
      <w:numFmt w:val="bullet"/>
      <w:lvlText w:val="▪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4AE9A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8C804">
      <w:start w:val="1"/>
      <w:numFmt w:val="bullet"/>
      <w:lvlText w:val="o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B6936A">
      <w:start w:val="1"/>
      <w:numFmt w:val="bullet"/>
      <w:lvlText w:val="▪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146ACC"/>
    <w:multiLevelType w:val="hybridMultilevel"/>
    <w:tmpl w:val="04324AA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E1C78AB"/>
    <w:multiLevelType w:val="hybridMultilevel"/>
    <w:tmpl w:val="F3CEB642"/>
    <w:lvl w:ilvl="0" w:tplc="785845D8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A4CFE">
      <w:start w:val="1"/>
      <w:numFmt w:val="bullet"/>
      <w:lvlText w:val="o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24C80">
      <w:start w:val="1"/>
      <w:numFmt w:val="bullet"/>
      <w:lvlText w:val="▪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09D6E">
      <w:start w:val="1"/>
      <w:numFmt w:val="bullet"/>
      <w:lvlText w:val="•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297DC">
      <w:start w:val="1"/>
      <w:numFmt w:val="bullet"/>
      <w:lvlText w:val="o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6A61E">
      <w:start w:val="1"/>
      <w:numFmt w:val="bullet"/>
      <w:lvlText w:val="▪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88A0">
      <w:start w:val="1"/>
      <w:numFmt w:val="bullet"/>
      <w:lvlText w:val="•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81064">
      <w:start w:val="1"/>
      <w:numFmt w:val="bullet"/>
      <w:lvlText w:val="o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64BD8">
      <w:start w:val="1"/>
      <w:numFmt w:val="bullet"/>
      <w:lvlText w:val="▪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991A8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F3"/>
    <w:rsid w:val="00007623"/>
    <w:rsid w:val="0002509A"/>
    <w:rsid w:val="00057FA3"/>
    <w:rsid w:val="00060AD6"/>
    <w:rsid w:val="000871CC"/>
    <w:rsid w:val="000A1B4B"/>
    <w:rsid w:val="000A4745"/>
    <w:rsid w:val="000B150A"/>
    <w:rsid w:val="000C0E12"/>
    <w:rsid w:val="000D4300"/>
    <w:rsid w:val="0014413F"/>
    <w:rsid w:val="001532DD"/>
    <w:rsid w:val="001B02FF"/>
    <w:rsid w:val="001C7C0A"/>
    <w:rsid w:val="001D4C3B"/>
    <w:rsid w:val="00297228"/>
    <w:rsid w:val="002E7048"/>
    <w:rsid w:val="003170D4"/>
    <w:rsid w:val="00317E68"/>
    <w:rsid w:val="00363C1F"/>
    <w:rsid w:val="00375217"/>
    <w:rsid w:val="00387629"/>
    <w:rsid w:val="003B2F1A"/>
    <w:rsid w:val="003B7231"/>
    <w:rsid w:val="003D6186"/>
    <w:rsid w:val="00401B34"/>
    <w:rsid w:val="00403DDB"/>
    <w:rsid w:val="0041373B"/>
    <w:rsid w:val="004315B4"/>
    <w:rsid w:val="004417C8"/>
    <w:rsid w:val="00457273"/>
    <w:rsid w:val="004B1255"/>
    <w:rsid w:val="004B425C"/>
    <w:rsid w:val="004D4485"/>
    <w:rsid w:val="00515886"/>
    <w:rsid w:val="00527BE9"/>
    <w:rsid w:val="00531DB8"/>
    <w:rsid w:val="00534E98"/>
    <w:rsid w:val="005436F3"/>
    <w:rsid w:val="005926A6"/>
    <w:rsid w:val="005B26F7"/>
    <w:rsid w:val="005D5158"/>
    <w:rsid w:val="005E79FF"/>
    <w:rsid w:val="00667A26"/>
    <w:rsid w:val="00674AA7"/>
    <w:rsid w:val="00685208"/>
    <w:rsid w:val="00694B5F"/>
    <w:rsid w:val="006E06A2"/>
    <w:rsid w:val="007149EE"/>
    <w:rsid w:val="00740BD4"/>
    <w:rsid w:val="007435FE"/>
    <w:rsid w:val="0075086A"/>
    <w:rsid w:val="007F209A"/>
    <w:rsid w:val="008076BF"/>
    <w:rsid w:val="008A4B8C"/>
    <w:rsid w:val="008B0EF0"/>
    <w:rsid w:val="00902626"/>
    <w:rsid w:val="0092567E"/>
    <w:rsid w:val="00957AE3"/>
    <w:rsid w:val="00977829"/>
    <w:rsid w:val="00984F47"/>
    <w:rsid w:val="009B0B86"/>
    <w:rsid w:val="009B5056"/>
    <w:rsid w:val="009D1A1B"/>
    <w:rsid w:val="00A33289"/>
    <w:rsid w:val="00AA6FDF"/>
    <w:rsid w:val="00B12984"/>
    <w:rsid w:val="00B227F6"/>
    <w:rsid w:val="00B66CE7"/>
    <w:rsid w:val="00BB0A10"/>
    <w:rsid w:val="00C26765"/>
    <w:rsid w:val="00C4434E"/>
    <w:rsid w:val="00C46FE1"/>
    <w:rsid w:val="00C50B4B"/>
    <w:rsid w:val="00C575EE"/>
    <w:rsid w:val="00C70855"/>
    <w:rsid w:val="00C722C0"/>
    <w:rsid w:val="00C826B9"/>
    <w:rsid w:val="00C86DDB"/>
    <w:rsid w:val="00CE7AE7"/>
    <w:rsid w:val="00D85A18"/>
    <w:rsid w:val="00D96994"/>
    <w:rsid w:val="00DA176F"/>
    <w:rsid w:val="00DD200F"/>
    <w:rsid w:val="00E60995"/>
    <w:rsid w:val="00E664B6"/>
    <w:rsid w:val="00EC4832"/>
    <w:rsid w:val="00F019B5"/>
    <w:rsid w:val="00F17CC1"/>
    <w:rsid w:val="00F44D20"/>
    <w:rsid w:val="00F80368"/>
    <w:rsid w:val="00FA2E17"/>
    <w:rsid w:val="00FF5334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B0C8"/>
  <w15:docId w15:val="{4C281F63-B42D-4564-8DB7-CB6F3385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65" w:lineRule="auto"/>
      <w:ind w:left="151" w:right="34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color w:val="991A8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991A81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6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FF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E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9FF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E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F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041B7BD05764FB48F1BED711E099C" ma:contentTypeVersion="13" ma:contentTypeDescription="Create a new document." ma:contentTypeScope="" ma:versionID="6a5df0c52821ff6141c5cfd098a6bee3">
  <xsd:schema xmlns:xsd="http://www.w3.org/2001/XMLSchema" xmlns:xs="http://www.w3.org/2001/XMLSchema" xmlns:p="http://schemas.microsoft.com/office/2006/metadata/properties" xmlns:ns2="6abe6018-fee2-4732-b665-704070d3b020" xmlns:ns3="c9f13b8e-2173-488f-8d07-5d0bab72e3b5" targetNamespace="http://schemas.microsoft.com/office/2006/metadata/properties" ma:root="true" ma:fieldsID="a7cba7c84968fddae28f3f79dee7f797" ns2:_="" ns3:_="">
    <xsd:import namespace="6abe6018-fee2-4732-b665-704070d3b020"/>
    <xsd:import namespace="c9f13b8e-2173-488f-8d07-5d0bab72e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6018-fee2-4732-b665-704070d3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3b8e-2173-488f-8d07-5d0bab72e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B63DD-CA5E-478C-AFBF-AD43465E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38788-704F-4DFF-B905-89518D4D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6018-fee2-4732-b665-704070d3b020"/>
    <ds:schemaRef ds:uri="c9f13b8e-2173-488f-8d07-5d0bab72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FFE77-9E33-4900-A18D-B5ACFFA31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F2D6E-7347-42DC-A1C6-A69FAF4D7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Shastry</dc:creator>
  <cp:keywords/>
  <cp:lastModifiedBy>Denise Sedgwick</cp:lastModifiedBy>
  <cp:revision>23</cp:revision>
  <dcterms:created xsi:type="dcterms:W3CDTF">2021-11-15T11:54:00Z</dcterms:created>
  <dcterms:modified xsi:type="dcterms:W3CDTF">2021-11-15T12:08:00Z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0x0101006F9041B7BD05764FB48F1BED711E099C</vt:lpwstr>
  </property>
</Properties>
</file>